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4" w:rsidRPr="00D3689F" w:rsidRDefault="00B60054">
      <w:pPr>
        <w:pStyle w:val="Heading1"/>
        <w:tabs>
          <w:tab w:val="left" w:pos="2160"/>
        </w:tabs>
        <w:ind w:left="2160"/>
        <w:rPr>
          <w:rFonts w:ascii="Garamond" w:hAnsi="Garamond" w:cs="Tahoma"/>
          <w:b/>
          <w:sz w:val="36"/>
        </w:rPr>
      </w:pPr>
      <w:r w:rsidRPr="00D3689F">
        <w:rPr>
          <w:rFonts w:ascii="Garamond" w:hAnsi="Garamond" w:cs="Tahoma"/>
          <w:b/>
          <w:sz w:val="36"/>
        </w:rPr>
        <w:t>POSSUM VALLEY MUNICIPAL AUTHORITY</w:t>
      </w:r>
    </w:p>
    <w:p w:rsidR="00B60054" w:rsidRDefault="00B60054">
      <w:pPr>
        <w:rPr>
          <w:rFonts w:ascii="Tahoma" w:hAnsi="Tahoma" w:cs="Tahoma"/>
          <w:sz w:val="16"/>
        </w:rPr>
      </w:pPr>
    </w:p>
    <w:p w:rsidR="000E33AA" w:rsidRDefault="00B60054" w:rsidP="000E33AA">
      <w:pPr>
        <w:rPr>
          <w:rFonts w:ascii="Garamond" w:hAnsi="Garamond" w:cs="Tahoma"/>
          <w:sz w:val="18"/>
          <w:szCs w:val="18"/>
        </w:rPr>
      </w:pPr>
      <w:r w:rsidRPr="00215F88">
        <w:rPr>
          <w:rFonts w:ascii="Garamond" w:hAnsi="Garamond" w:cs="Tahoma"/>
          <w:sz w:val="18"/>
          <w:szCs w:val="18"/>
        </w:rPr>
        <w:t xml:space="preserve">609 CLEARVIEW </w:t>
      </w:r>
      <w:r w:rsidR="000E33AA">
        <w:rPr>
          <w:rFonts w:ascii="Garamond" w:hAnsi="Garamond" w:cs="Tahoma"/>
          <w:sz w:val="18"/>
          <w:szCs w:val="18"/>
        </w:rPr>
        <w:t>RD.</w:t>
      </w:r>
    </w:p>
    <w:p w:rsidR="00B60054" w:rsidRDefault="000E33AA">
      <w:pPr>
        <w:rPr>
          <w:rFonts w:ascii="Tahoma" w:hAnsi="Tahoma" w:cs="Tahoma"/>
          <w:sz w:val="16"/>
        </w:rPr>
      </w:pPr>
      <w:r>
        <w:rPr>
          <w:rFonts w:ascii="Garamond" w:hAnsi="Garamond" w:cs="Tahoma"/>
          <w:sz w:val="18"/>
          <w:szCs w:val="18"/>
        </w:rPr>
        <w:t>ASPERS, PA 17304</w:t>
      </w:r>
    </w:p>
    <w:p w:rsidR="00B60054" w:rsidRPr="00215F88" w:rsidRDefault="00B60054" w:rsidP="00D3689F">
      <w:pPr>
        <w:pBdr>
          <w:top w:val="double" w:sz="40" w:space="1" w:color="000000"/>
        </w:pBdr>
        <w:jc w:val="right"/>
        <w:rPr>
          <w:rFonts w:ascii="Garamond" w:hAnsi="Garamond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</w:t>
      </w:r>
      <w:r>
        <w:rPr>
          <w:sz w:val="16"/>
        </w:rPr>
        <w:tab/>
        <w:t xml:space="preserve">      </w:t>
      </w:r>
      <w:r w:rsidR="0003606F">
        <w:rPr>
          <w:sz w:val="16"/>
        </w:rPr>
        <w:t xml:space="preserve">     </w:t>
      </w:r>
      <w:r w:rsidR="0003606F" w:rsidRPr="00215F88">
        <w:rPr>
          <w:rFonts w:ascii="Garamond" w:hAnsi="Garamond"/>
          <w:sz w:val="18"/>
          <w:szCs w:val="18"/>
        </w:rPr>
        <w:t>P</w:t>
      </w:r>
      <w:r w:rsidRPr="00215F88">
        <w:rPr>
          <w:rFonts w:ascii="Garamond" w:hAnsi="Garamond" w:cs="Tahoma"/>
          <w:sz w:val="18"/>
          <w:szCs w:val="18"/>
        </w:rPr>
        <w:t>hone</w:t>
      </w:r>
      <w:r w:rsidR="0003606F" w:rsidRPr="00215F88">
        <w:rPr>
          <w:rFonts w:ascii="Garamond" w:hAnsi="Garamond" w:cs="Tahoma"/>
          <w:sz w:val="18"/>
          <w:szCs w:val="18"/>
        </w:rPr>
        <w:t>-</w:t>
      </w:r>
      <w:r w:rsidRPr="00215F88">
        <w:rPr>
          <w:rFonts w:ascii="Garamond" w:hAnsi="Garamond" w:cs="Tahoma"/>
          <w:sz w:val="18"/>
          <w:szCs w:val="18"/>
        </w:rPr>
        <w:t xml:space="preserve"> </w:t>
      </w:r>
      <w:r w:rsidR="0003606F" w:rsidRPr="00215F88">
        <w:rPr>
          <w:rFonts w:ascii="Garamond" w:hAnsi="Garamond" w:cs="Tahoma"/>
          <w:sz w:val="18"/>
          <w:szCs w:val="18"/>
        </w:rPr>
        <w:t>(</w:t>
      </w:r>
      <w:r w:rsidRPr="00215F88">
        <w:rPr>
          <w:rFonts w:ascii="Garamond" w:hAnsi="Garamond" w:cs="Tahoma"/>
          <w:sz w:val="18"/>
          <w:szCs w:val="18"/>
        </w:rPr>
        <w:t>717</w:t>
      </w:r>
      <w:r w:rsidR="0003606F" w:rsidRPr="00215F88">
        <w:rPr>
          <w:rFonts w:ascii="Garamond" w:hAnsi="Garamond" w:cs="Tahoma"/>
          <w:sz w:val="18"/>
          <w:szCs w:val="18"/>
        </w:rPr>
        <w:t xml:space="preserve">) </w:t>
      </w:r>
      <w:r w:rsidRPr="00215F88">
        <w:rPr>
          <w:rFonts w:ascii="Garamond" w:hAnsi="Garamond" w:cs="Tahoma"/>
          <w:sz w:val="18"/>
          <w:szCs w:val="18"/>
        </w:rPr>
        <w:t>677-8551</w:t>
      </w:r>
    </w:p>
    <w:p w:rsidR="00B60054" w:rsidRPr="00215F88" w:rsidRDefault="0003606F" w:rsidP="00D3689F">
      <w:pPr>
        <w:pBdr>
          <w:top w:val="double" w:sz="40" w:space="1" w:color="000000"/>
        </w:pBdr>
        <w:jc w:val="right"/>
        <w:rPr>
          <w:rFonts w:ascii="Garamond" w:hAnsi="Garamond" w:cs="Tahoma"/>
          <w:sz w:val="18"/>
          <w:szCs w:val="18"/>
        </w:rPr>
      </w:pP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  <w:t xml:space="preserve">               </w:t>
      </w:r>
      <w:r w:rsidR="00B60054" w:rsidRPr="00215F88">
        <w:rPr>
          <w:rFonts w:ascii="Garamond" w:hAnsi="Garamond" w:cs="Tahoma"/>
          <w:sz w:val="18"/>
          <w:szCs w:val="18"/>
        </w:rPr>
        <w:t>Fax</w:t>
      </w:r>
      <w:r w:rsidRPr="00215F88">
        <w:rPr>
          <w:rFonts w:ascii="Garamond" w:hAnsi="Garamond" w:cs="Tahoma"/>
          <w:sz w:val="18"/>
          <w:szCs w:val="18"/>
        </w:rPr>
        <w:t xml:space="preserve">-  </w:t>
      </w:r>
      <w:r w:rsidR="00B60054" w:rsidRPr="00215F88">
        <w:rPr>
          <w:rFonts w:ascii="Garamond" w:hAnsi="Garamond" w:cs="Tahoma"/>
          <w:sz w:val="18"/>
          <w:szCs w:val="18"/>
        </w:rPr>
        <w:t xml:space="preserve"> </w:t>
      </w:r>
      <w:r w:rsidRPr="00215F88">
        <w:rPr>
          <w:rFonts w:ascii="Garamond" w:hAnsi="Garamond" w:cs="Tahoma"/>
          <w:sz w:val="18"/>
          <w:szCs w:val="18"/>
        </w:rPr>
        <w:t>(</w:t>
      </w:r>
      <w:r w:rsidR="00B60054" w:rsidRPr="00215F88">
        <w:rPr>
          <w:rFonts w:ascii="Garamond" w:hAnsi="Garamond" w:cs="Tahoma"/>
          <w:sz w:val="18"/>
          <w:szCs w:val="18"/>
        </w:rPr>
        <w:t>717</w:t>
      </w:r>
      <w:r w:rsidRPr="00215F88">
        <w:rPr>
          <w:rFonts w:ascii="Garamond" w:hAnsi="Garamond" w:cs="Tahoma"/>
          <w:sz w:val="18"/>
          <w:szCs w:val="18"/>
        </w:rPr>
        <w:t xml:space="preserve">) </w:t>
      </w:r>
      <w:r w:rsidR="00B60054" w:rsidRPr="00215F88">
        <w:rPr>
          <w:rFonts w:ascii="Garamond" w:hAnsi="Garamond" w:cs="Tahoma"/>
          <w:sz w:val="18"/>
          <w:szCs w:val="18"/>
        </w:rPr>
        <w:t>677-4703</w:t>
      </w:r>
    </w:p>
    <w:p w:rsidR="00B60054" w:rsidRDefault="00B60054" w:rsidP="00D3689F">
      <w:pPr>
        <w:jc w:val="right"/>
        <w:rPr>
          <w:rFonts w:cs="Arial"/>
          <w:sz w:val="24"/>
        </w:rPr>
      </w:pP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  <w:t xml:space="preserve">          </w:t>
      </w:r>
      <w:r w:rsidR="00EB09A9" w:rsidRPr="00EB09A9">
        <w:rPr>
          <w:rFonts w:ascii="Garamond" w:hAnsi="Garamond"/>
          <w:sz w:val="18"/>
          <w:szCs w:val="18"/>
        </w:rPr>
        <w:t>possumvalley@emb</w:t>
      </w:r>
      <w:r w:rsidR="00EB09A9">
        <w:rPr>
          <w:rFonts w:ascii="Garamond" w:hAnsi="Garamond"/>
          <w:sz w:val="18"/>
          <w:szCs w:val="18"/>
        </w:rPr>
        <w:t>arqmail.com</w:t>
      </w:r>
    </w:p>
    <w:p w:rsidR="00B60054" w:rsidRDefault="00B60054">
      <w:pPr>
        <w:rPr>
          <w:rFonts w:cs="Arial"/>
          <w:sz w:val="24"/>
        </w:rPr>
      </w:pPr>
    </w:p>
    <w:p w:rsidR="00F65D83" w:rsidRDefault="00F65D83" w:rsidP="00F65D83">
      <w:pPr>
        <w:jc w:val="center"/>
        <w:rPr>
          <w:rFonts w:ascii="Garamond" w:hAnsi="Garamond" w:cs="Arial"/>
          <w:sz w:val="24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POSSUM VALLEY MUNICIPAL AUTHORITY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RIGHT-TO-KNOW POLICY FOR PUBLIC RECORDS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I. </w:t>
      </w:r>
      <w:r w:rsidR="00D30C82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 w:rsidRPr="00D30C82"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  <w:t>Introduction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 xml:space="preserve">The Possum Valley Municipal Authority (“Authority”) is a body corporate and politic, duly organized by </w:t>
      </w:r>
      <w:proofErr w:type="spell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Bendersville</w:t>
      </w:r>
      <w:proofErr w:type="spell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Borough and </w:t>
      </w:r>
      <w:proofErr w:type="spell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Menallen</w:t>
      </w:r>
      <w:proofErr w:type="spell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Township, Adams County, Pennsylvania, under the former Municipality Authorities Act of 1945, repealed by Act 2001, June 19, P.L. 287, No. 22, § 3, now known as the “Municipality Authorities Act,” Act 2001, June 19, P.L. 287, No. 22, § 4, 53 Pa. C.S.A. § 5601 et seq. As such, the Authority is a local agency for purposes of the new Right-to-Know Law.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>All local agencies shall provide public records in accordance with the Right-to-Know Law. Therefore, any record in the possession of the Authority shall be presumed to be a public record, except in the following circumstances: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3C05A8" w:rsidP="003C05A8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(a) The record is exempt under section 708 of the Right-to-Know Law;</w:t>
      </w:r>
    </w:p>
    <w:p w:rsidR="002454AF" w:rsidRDefault="002454AF" w:rsidP="003C05A8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3C05A8" w:rsidP="003C05A8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(b) The record is protected by the attorney-work product doctrine, the attorney-client privilege, or other privileg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 recognized by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laws of the Commonwealth of Pennsylvania (i.e., statute or case law); or</w:t>
      </w:r>
    </w:p>
    <w:p w:rsidR="002454AF" w:rsidRDefault="002454AF" w:rsidP="003C05A8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D30C82" w:rsidRDefault="003C05A8" w:rsidP="003C05A8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(c) The record is exempt from disclosure under any other federal or state law or regulation, or judicial order or decree.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Records are broadly defined under the Right-to-Know Law. The term includes a document, paper, letter, map, book, tape, photograph, film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sound recording, information stored or maintained electronically, and a data-processed or image-processed document.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>Requests for public records can be made by any person or</w:t>
      </w:r>
      <w:r w:rsidR="00D30C82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who is a legal resident of the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United States, including resident aliens. Requests to the Auth</w:t>
      </w:r>
      <w:r w:rsidR="00D30C82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ority can also be made by other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local agencies, Commonwealth agencies (e.g., The Departmen</w:t>
      </w:r>
      <w:r w:rsidR="00D30C82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 of the Auditor General or the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Treasury Department), judicial agencies (i.e., the courts), or legisla</w:t>
      </w:r>
      <w:r w:rsidR="00D30C82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tive agencies (e.g., the Senate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and House of Representatives).</w:t>
      </w:r>
    </w:p>
    <w:p w:rsidR="003C05A8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II. </w:t>
      </w:r>
      <w:r w:rsidR="00D30C82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 w:rsidRPr="00D30C82"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  <w:t>Access and Procedure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2454AF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Requesters may make oral requests for access to rec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ords. However, if the requester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wishes to pursue the relief and remedies provided for in the Rig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ht-to-Know Law, the request for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access to records must be a written request. A written reque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st for access to records may be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submitted in person, by mail, by e-mail, or by facsimile.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The Authority has designat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ed </w:t>
      </w:r>
      <w:r w:rsidR="00C97407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OFFICE MANAGER AND </w:t>
      </w:r>
      <w:proofErr w:type="gramStart"/>
      <w:r w:rsidR="00C97407">
        <w:rPr>
          <w:rFonts w:ascii="TimesNewRoman" w:hAnsi="TimesNewRoman" w:cs="TimesNewRoman"/>
          <w:spacing w:val="0"/>
          <w:sz w:val="24"/>
          <w:szCs w:val="24"/>
          <w:lang w:eastAsia="en-US"/>
        </w:rPr>
        <w:t>A</w:t>
      </w:r>
      <w:proofErr w:type="gramEnd"/>
      <w:r w:rsidR="00C97407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BOARD DIRECTOR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, to act as the Open-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Records Officer</w:t>
      </w:r>
      <w:r w:rsidR="00C97407">
        <w:rPr>
          <w:rFonts w:ascii="TimesNewRoman" w:hAnsi="TimesNewRoman" w:cs="TimesNewRoman"/>
          <w:spacing w:val="0"/>
          <w:sz w:val="24"/>
          <w:szCs w:val="24"/>
          <w:lang w:eastAsia="en-US"/>
        </w:rPr>
        <w:t>’s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(“Officer</w:t>
      </w:r>
      <w:r w:rsidR="00C97407">
        <w:rPr>
          <w:rFonts w:ascii="TimesNewRoman" w:hAnsi="TimesNewRoman" w:cs="TimesNewRoman"/>
          <w:spacing w:val="0"/>
          <w:sz w:val="24"/>
          <w:szCs w:val="24"/>
          <w:lang w:eastAsia="en-US"/>
        </w:rPr>
        <w:t>’s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”). The Officer’s contact information is set forth below: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D30C82" w:rsidRDefault="00C97407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ATTN: </w:t>
      </w:r>
      <w:bookmarkStart w:id="0" w:name="_GoBack"/>
      <w:bookmarkEnd w:id="0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OPEN RECORDS OFFICER</w:t>
      </w:r>
    </w:p>
    <w:p w:rsidR="00D30C82" w:rsidRDefault="00D30C82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609 </w:t>
      </w:r>
      <w:proofErr w:type="spell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Clearview</w:t>
      </w:r>
      <w:proofErr w:type="spell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Road</w:t>
      </w:r>
    </w:p>
    <w:p w:rsidR="00D30C82" w:rsidRDefault="00D30C82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Aspers, Pa 17304</w:t>
      </w:r>
    </w:p>
    <w:p w:rsidR="00D30C82" w:rsidRDefault="00D30C82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Phone: (717) 677-8551</w:t>
      </w:r>
    </w:p>
    <w:p w:rsidR="00D30C82" w:rsidRDefault="00D30C82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Cell: (717) 342-9089</w:t>
      </w:r>
    </w:p>
    <w:p w:rsidR="00D30C82" w:rsidRDefault="00C97407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hyperlink r:id="rId6" w:history="1">
        <w:r w:rsidR="00D30C82" w:rsidRPr="00DB59E2">
          <w:rPr>
            <w:rStyle w:val="Hyperlink"/>
            <w:rFonts w:ascii="TimesNewRoman" w:hAnsi="TimesNewRoman" w:cs="TimesNewRoman"/>
            <w:spacing w:val="0"/>
            <w:sz w:val="24"/>
            <w:szCs w:val="24"/>
            <w:lang w:eastAsia="en-US"/>
          </w:rPr>
          <w:t>possumvalley@embarqmail.com</w:t>
        </w:r>
      </w:hyperlink>
    </w:p>
    <w:p w:rsidR="00D30C82" w:rsidRDefault="00D30C82" w:rsidP="00D30C82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Questions regarding this policy may be directed to the Officer at </w:t>
      </w:r>
      <w:r w:rsidR="00D30C82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telephone or e-mail address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listed above.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All written requests must be addressed to the Officer. In t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he event that a written request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for records is addressed to an Authority employee other than the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Officer, the Authority employee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is hereby directed to promptly forward such requests to the Officer.</w:t>
      </w:r>
    </w:p>
    <w:p w:rsidR="00D30C82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D30C82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Written requests should identify or describe the record sou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ght with sufficient specificity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to enable the Authority to ascertain which records are be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ing requested. Unless otherwise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required by law, a written request need not include any explanation of the requester’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s reason for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requesting the records or the intended use of such records. A f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orm which may be used to file a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request is posted on the Authority’s internet website at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possumvalley.com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. The Authority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shall assign a tracking number to each filed form so as to track the Authority’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s progress in responding to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requests under the new Right-to-Know Law.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Prior to granting a request for access in accordance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with the Right-to-Know Law,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Authority may require a requester to prepay an estimate of the fees autho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rized by law if the fees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required to fulfill the request are expected to exceed $100.00. 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fees must be reasonable and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based on prevailing fees for comparable duplication services provi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ded by local business entities.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Except as otherwise provided by statute, no other fees m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ay be imposed unless the agency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necessarily incurs costs for complying with the request, and such fees must be reasonable.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In all circumstances, the requester must agree to pay ap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plicable fees authorized by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new Right-to-Know Law, such as (but not limited to) postag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 (not to exceed actual cost of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mailing), duplication and certification.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All applicable fees shall be paid before a requester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receives access to the record(s) requested.</w:t>
      </w:r>
    </w:p>
    <w:p w:rsidR="00C27867" w:rsidRDefault="00C27867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846C3C" w:rsidRP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Pr="0070070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 record being provided to a requester shall be provide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d in the medium requested if it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exists in that medium; otherwise, it shall be provided in the medium in which it exists.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In other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words, the Authority shall not be required to create a record which does not currently exist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or to otherwise compile, maintain, format or organize a reco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rd in a manner in which it does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not currently compile, maintain, format or organize such record.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The Authority may impose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reasonable fees for official certification of copies if the certification is at the behest of the</w:t>
      </w:r>
      <w:r w:rsidR="0070070C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requester and for the purpose of legally verifying the public record.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Upon receipt of a written request for a public record, the Officer shall do the following: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(a) Note the date of the receipt on the written request;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(b) Compute the day on which the five-day peri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od (see discussion of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response, below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) will expire, and make a notation of that date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on the written request;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and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(c) Create a file for the retention of the 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original request, a copy of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response, a record of written communications with the 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 xml:space="preserve">requester, and a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copy of other communications.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III. </w:t>
      </w:r>
      <w:r w:rsidR="00846C3C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 w:rsidRPr="00846C3C"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  <w:t>Authority’s Response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2454AF" w:rsidRPr="0070070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Upon receipt of a written request for access to a record,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Authority shall make a good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faith effort to determine if the record requested is a public record and whethe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 the Authority has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possession, custody or control of the identified record. Wh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en doing so, the Authority will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respond as promptly as possible under the circumstances exist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ing at the time of the request. 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Under the Right-to-Know Law, the Authority must send a re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sponse within five (5) business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days of receipt of the written request for access, or else the 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written request shall be deemed </w:t>
      </w:r>
      <w:r w:rsidR="002454AF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denied.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For purposes of this policy, a business day is any Monday, Tuesday, Wednesday,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Thursday or Friday, except those days when the Authority’s office is closed for all or part of a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day due to a holiday, namely: [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Christmas, New Years, Labor Day, Memorial Day, Good Friday, Thanksgiving, and July 4th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.]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Upon receipt of a written request for access, the Office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 shall determine if one of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following applies:</w:t>
      </w:r>
    </w:p>
    <w:p w:rsidR="00846C3C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846C3C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(a) The request for access requires redaction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of a record in accordance with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the Right-to-Know Law;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(b) The request for access requires the retrieval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of a record stored in a remote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location;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(c) A timely response to the request for access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>cannot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be accomplished due to </w:t>
      </w:r>
      <w:proofErr w:type="spellStart"/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bonified</w:t>
      </w:r>
      <w:proofErr w:type="spellEnd"/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and specified staffing limitations;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(d) A legal review is necessary to determine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whether the record is a record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subject to access under the Right-to-Know Law;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(e) The requester has not complied with the Authority’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s policies regarding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access to records;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(f) The requester refuses to pay applicable f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>ees authorized by the Right-to-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Know Law; or</w:t>
      </w:r>
    </w:p>
    <w:p w:rsidR="002454AF" w:rsidRDefault="003C05A8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>(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g) The extent or nature of the request </w:t>
      </w:r>
      <w:r w:rsidR="00846C3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precludes a response within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required time period of five (5) business days.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Upon a determination that one of the factors listed above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applies, the Officer shall send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written notice to the requester within five (5) business days of rec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eipt of the request for access.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notice shall include a statement notifying the requester that 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request for access is being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reviewed, the reason for the review, a reasonable date that a respo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nse is expected to be provided,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and an estimate of applicable fees owed when the record becomes available. Informa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tion which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the Authority redacts in accordance with the Right-to-Know Law shall be deemed a denial.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If the date that a response is expected to be provided is in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excess of thirty (30) calendar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days, following the five (5) business days allowed for above, th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 request for access shall be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deemed denied unless the requester has agreed in writing to an ext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ension to the date specified in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notice. If the requester agrees to the extension, the request sh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all be deemed denied on the day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following the date specified in the notice if the Authority has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not provided a response by that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date.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For purposes of this policy, the “mailing date” shall be the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date affixed to a: (1) response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from the Officer to a request, which is to be the date the response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is deposited in the U.S. mail;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(2) final determination from the Officer, which is to be the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date the final determination is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deposited in the U.S. mail.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>IV.</w:t>
      </w:r>
      <w:r w:rsidR="00CF47E0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 </w:t>
      </w:r>
      <w:r w:rsidRPr="00CF47E0"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  <w:t>Appeal of Authority’s Determination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2454AF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If a written request for access to a record is denied or d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eemed denied, the requester may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file an appeal with the Office of Open Records within fifteen (1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5) business days of the mailing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date of the Authority’s response or within fifteen (15) busin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ess day of a deemed denial. The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appeal shall state the grounds upon which the requester asserts that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the record is a public record,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and shall address any grounds stated by the Authority for delaying or denying the request.</w:t>
      </w:r>
    </w:p>
    <w:p w:rsidR="00CF47E0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2454AF" w:rsidRDefault="00CF47E0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The Office of Open Records has established </w:t>
      </w:r>
      <w:proofErr w:type="spellStart"/>
      <w:proofErr w:type="gramStart"/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</w:t>
      </w:r>
      <w:proofErr w:type="spellEnd"/>
      <w:proofErr w:type="gramEnd"/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internet we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bsite with information relating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to the Right-to-Know Law, including information on fees, adviso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ry opinions and decisions, plus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the name and address of all Open-Records Officers in the Co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mmonwealth of Pennsylvania. For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information on the Office of Open Records, please go to openrecords.state.pa.us.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(Please note: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among other matters, the Office of Open Records shall es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tablish fees for duplication by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photocopying, printing from electronic media or microfilm, cop</w:t>
      </w:r>
      <w:r w:rsidR="0070070C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ying onto electronic media, and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other means of duplication.)</w:t>
      </w:r>
    </w:p>
    <w:p w:rsidR="002454AF" w:rsidRDefault="002454AF" w:rsidP="002454AF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B93367" w:rsidRDefault="002454AF" w:rsidP="00B93367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V. </w:t>
      </w:r>
      <w:r w:rsidR="00CF47E0"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 w:rsidRPr="00CF47E0">
        <w:rPr>
          <w:rFonts w:ascii="TimesNewRoman,Bold" w:hAnsi="TimesNewRoman,Bold" w:cs="TimesNewRoman,Bold"/>
          <w:b/>
          <w:bCs/>
          <w:spacing w:val="0"/>
          <w:sz w:val="24"/>
          <w:szCs w:val="24"/>
          <w:u w:val="single"/>
          <w:lang w:eastAsia="en-US"/>
        </w:rPr>
        <w:t>Retention of Records</w:t>
      </w:r>
    </w:p>
    <w:p w:rsidR="00B93367" w:rsidRDefault="00B93367" w:rsidP="00B93367">
      <w:pPr>
        <w:suppressAutoHyphens w:val="0"/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</w:pPr>
    </w:p>
    <w:p w:rsidR="00352E20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ab/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By adopt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ion of </w:t>
      </w:r>
      <w:r>
        <w:rPr>
          <w:b/>
          <w:i/>
          <w:u w:val="single"/>
        </w:rPr>
        <w:t>RESOLUTION NO.1-2015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, the Authority 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publicly declared its intention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to follow th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 Municipal Records Act, 53 Pa.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C.S.A. § 1381 et seq.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, with respect to the retention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and disposition of public records. Nothing in the Right-to-Know Law shall be construed to</w:t>
      </w:r>
      <w:r>
        <w:rPr>
          <w:rFonts w:ascii="TimesNewRoman,Bold" w:hAnsi="TimesNewRoman,Bold" w:cs="TimesNewRoman,Bold"/>
          <w:b/>
          <w:bCs/>
          <w:spacing w:val="0"/>
          <w:sz w:val="24"/>
          <w:szCs w:val="24"/>
          <w:lang w:eastAsia="en-US"/>
        </w:rPr>
        <w:t xml:space="preserve"> </w:t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modify,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rescind or 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>supersede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 the Authority’s lawfully adopted r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ecord retention and disposition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policy. Moreover, nothing in the Right-to-Know Law shall be con</w:t>
      </w:r>
      <w:r w:rsidR="00CF47E0">
        <w:rPr>
          <w:rFonts w:ascii="TimesNewRoman" w:hAnsi="TimesNewRoman" w:cs="TimesNewRoman"/>
          <w:spacing w:val="0"/>
          <w:sz w:val="24"/>
          <w:szCs w:val="24"/>
          <w:lang w:eastAsia="en-US"/>
        </w:rPr>
        <w:t xml:space="preserve">strued to require access to any </w:t>
      </w:r>
      <w:r w:rsidR="002454AF">
        <w:rPr>
          <w:rFonts w:ascii="TimesNewRoman" w:hAnsi="TimesNewRoman" w:cs="TimesNewRoman"/>
          <w:spacing w:val="0"/>
          <w:sz w:val="24"/>
          <w:szCs w:val="24"/>
          <w:lang w:eastAsia="en-US"/>
        </w:rPr>
        <w:t>computer of the Authority, or that of an individual or employee of the Authority.</w:t>
      </w:r>
    </w:p>
    <w:p w:rsidR="00B93367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B93367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B93367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B93367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POSSUM VALLEY MUNICIPAL AUTHORITY</w:t>
      </w:r>
      <w:r w:rsidR="00773234">
        <w:rPr>
          <w:rFonts w:ascii="TimesNewRoman" w:hAnsi="TimesNewRoman" w:cs="TimesNewRoman"/>
          <w:spacing w:val="0"/>
          <w:sz w:val="24"/>
          <w:szCs w:val="24"/>
          <w:lang w:eastAsia="en-US"/>
        </w:rPr>
        <w:t>:</w:t>
      </w:r>
    </w:p>
    <w:p w:rsidR="00B93367" w:rsidRDefault="00B93367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</w:p>
    <w:p w:rsidR="00B93367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>CHAIRMAN</w:t>
      </w:r>
      <w:proofErr w:type="gram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:_</w:t>
      </w:r>
      <w:proofErr w:type="gram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____________________________</w:t>
      </w:r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 xml:space="preserve">Daniel </w:t>
      </w:r>
      <w:proofErr w:type="spell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Schriver</w:t>
      </w:r>
      <w:proofErr w:type="spellEnd"/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>SECRETARY/TREASURER</w:t>
      </w:r>
      <w:proofErr w:type="gram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:_</w:t>
      </w:r>
      <w:proofErr w:type="gram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____________________________</w:t>
      </w:r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 xml:space="preserve">James </w:t>
      </w:r>
      <w:proofErr w:type="spell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Bergolios</w:t>
      </w:r>
      <w:proofErr w:type="spellEnd"/>
    </w:p>
    <w:p w:rsid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</w:p>
    <w:p w:rsidR="00773234" w:rsidRPr="00773234" w:rsidRDefault="00773234" w:rsidP="00CF47E0">
      <w:pPr>
        <w:suppressAutoHyphens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4"/>
          <w:szCs w:val="24"/>
          <w:lang w:eastAsia="en-US"/>
        </w:rPr>
      </w:pP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</w:r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ab/>
        <w:t>ATTEST</w:t>
      </w:r>
      <w:proofErr w:type="gramStart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:_</w:t>
      </w:r>
      <w:proofErr w:type="gramEnd"/>
      <w:r>
        <w:rPr>
          <w:rFonts w:ascii="TimesNewRoman" w:hAnsi="TimesNewRoman" w:cs="TimesNewRoman"/>
          <w:spacing w:val="0"/>
          <w:sz w:val="24"/>
          <w:szCs w:val="24"/>
          <w:lang w:eastAsia="en-US"/>
        </w:rPr>
        <w:t>____________________________</w:t>
      </w:r>
    </w:p>
    <w:sectPr w:rsidR="00773234" w:rsidRPr="00773234" w:rsidSect="00F65D8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F"/>
    <w:rsid w:val="000230C9"/>
    <w:rsid w:val="0003507F"/>
    <w:rsid w:val="0003606F"/>
    <w:rsid w:val="00044C5D"/>
    <w:rsid w:val="000B58C3"/>
    <w:rsid w:val="000C1C0B"/>
    <w:rsid w:val="000C1F86"/>
    <w:rsid w:val="000E33AA"/>
    <w:rsid w:val="00190739"/>
    <w:rsid w:val="001A5D4C"/>
    <w:rsid w:val="001B6463"/>
    <w:rsid w:val="00215F88"/>
    <w:rsid w:val="002454AF"/>
    <w:rsid w:val="0025759C"/>
    <w:rsid w:val="002B0D1B"/>
    <w:rsid w:val="002B3E87"/>
    <w:rsid w:val="002C1F60"/>
    <w:rsid w:val="00311836"/>
    <w:rsid w:val="00320472"/>
    <w:rsid w:val="00330715"/>
    <w:rsid w:val="00336302"/>
    <w:rsid w:val="00352E20"/>
    <w:rsid w:val="00373B95"/>
    <w:rsid w:val="003C05A8"/>
    <w:rsid w:val="004438A8"/>
    <w:rsid w:val="00457219"/>
    <w:rsid w:val="00497E2A"/>
    <w:rsid w:val="004A0D26"/>
    <w:rsid w:val="004F159C"/>
    <w:rsid w:val="004F68FC"/>
    <w:rsid w:val="00506DF3"/>
    <w:rsid w:val="00567BD0"/>
    <w:rsid w:val="00571E2A"/>
    <w:rsid w:val="00575F69"/>
    <w:rsid w:val="0058199C"/>
    <w:rsid w:val="005D6D5E"/>
    <w:rsid w:val="00601C9E"/>
    <w:rsid w:val="00651286"/>
    <w:rsid w:val="00677FD4"/>
    <w:rsid w:val="00691FFE"/>
    <w:rsid w:val="00692935"/>
    <w:rsid w:val="00697DD6"/>
    <w:rsid w:val="006D5E5A"/>
    <w:rsid w:val="006E4DBF"/>
    <w:rsid w:val="0070070C"/>
    <w:rsid w:val="00711174"/>
    <w:rsid w:val="00713B6D"/>
    <w:rsid w:val="00773234"/>
    <w:rsid w:val="00792A36"/>
    <w:rsid w:val="007C0745"/>
    <w:rsid w:val="007F569E"/>
    <w:rsid w:val="007F6F95"/>
    <w:rsid w:val="00841B21"/>
    <w:rsid w:val="00846C3C"/>
    <w:rsid w:val="008910D0"/>
    <w:rsid w:val="008C65B0"/>
    <w:rsid w:val="008D04AB"/>
    <w:rsid w:val="008F3A9D"/>
    <w:rsid w:val="008F4073"/>
    <w:rsid w:val="00925304"/>
    <w:rsid w:val="00936F65"/>
    <w:rsid w:val="00943EA4"/>
    <w:rsid w:val="00955E14"/>
    <w:rsid w:val="00995521"/>
    <w:rsid w:val="009A394F"/>
    <w:rsid w:val="009D5A12"/>
    <w:rsid w:val="00A16B34"/>
    <w:rsid w:val="00A34975"/>
    <w:rsid w:val="00A4524B"/>
    <w:rsid w:val="00A703D0"/>
    <w:rsid w:val="00A765C8"/>
    <w:rsid w:val="00AC1AE2"/>
    <w:rsid w:val="00AD428E"/>
    <w:rsid w:val="00AD757C"/>
    <w:rsid w:val="00AF2F00"/>
    <w:rsid w:val="00B00A04"/>
    <w:rsid w:val="00B2353C"/>
    <w:rsid w:val="00B60054"/>
    <w:rsid w:val="00B93367"/>
    <w:rsid w:val="00BA340A"/>
    <w:rsid w:val="00BA79C4"/>
    <w:rsid w:val="00BD245A"/>
    <w:rsid w:val="00BE0EC1"/>
    <w:rsid w:val="00C12866"/>
    <w:rsid w:val="00C27867"/>
    <w:rsid w:val="00C37A44"/>
    <w:rsid w:val="00C74941"/>
    <w:rsid w:val="00C97407"/>
    <w:rsid w:val="00CD2EC3"/>
    <w:rsid w:val="00CF47E0"/>
    <w:rsid w:val="00D059C7"/>
    <w:rsid w:val="00D30C82"/>
    <w:rsid w:val="00D33DAC"/>
    <w:rsid w:val="00D3689F"/>
    <w:rsid w:val="00D74BA1"/>
    <w:rsid w:val="00D8380F"/>
    <w:rsid w:val="00D83961"/>
    <w:rsid w:val="00D95325"/>
    <w:rsid w:val="00DC6063"/>
    <w:rsid w:val="00DE7430"/>
    <w:rsid w:val="00E11B1C"/>
    <w:rsid w:val="00E13EDE"/>
    <w:rsid w:val="00E65AC3"/>
    <w:rsid w:val="00E66375"/>
    <w:rsid w:val="00E906FF"/>
    <w:rsid w:val="00EA4618"/>
    <w:rsid w:val="00EB09A9"/>
    <w:rsid w:val="00EC7BCC"/>
    <w:rsid w:val="00EE7C18"/>
    <w:rsid w:val="00EF7CC3"/>
    <w:rsid w:val="00F02F28"/>
    <w:rsid w:val="00F053CA"/>
    <w:rsid w:val="00F53AB4"/>
    <w:rsid w:val="00F65D83"/>
    <w:rsid w:val="00F878AB"/>
    <w:rsid w:val="00F9118F"/>
    <w:rsid w:val="00F91898"/>
    <w:rsid w:val="00FD6D2A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F9210-799E-4D80-BD23-708DB7A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18"/>
    <w:pPr>
      <w:suppressAutoHyphens/>
      <w:jc w:val="both"/>
    </w:pPr>
    <w:rPr>
      <w:rFonts w:ascii="Arial" w:hAnsi="Arial"/>
      <w:spacing w:val="-5"/>
      <w:lang w:eastAsia="ar-SA"/>
    </w:rPr>
  </w:style>
  <w:style w:type="paragraph" w:styleId="Heading1">
    <w:name w:val="heading 1"/>
    <w:basedOn w:val="HeadingBase"/>
    <w:next w:val="BodyText"/>
    <w:qFormat/>
    <w:rsid w:val="00EE7C18"/>
    <w:pPr>
      <w:tabs>
        <w:tab w:val="num" w:pos="0"/>
      </w:tabs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E7C18"/>
    <w:pPr>
      <w:tabs>
        <w:tab w:val="num" w:pos="0"/>
      </w:tabs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EE7C18"/>
    <w:pPr>
      <w:tabs>
        <w:tab w:val="num" w:pos="0"/>
      </w:tabs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EE7C18"/>
    <w:pPr>
      <w:tabs>
        <w:tab w:val="num" w:pos="0"/>
      </w:tabs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EE7C18"/>
    <w:pPr>
      <w:tabs>
        <w:tab w:val="num" w:pos="0"/>
      </w:tabs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EE7C18"/>
    <w:pPr>
      <w:tabs>
        <w:tab w:val="num" w:pos="0"/>
      </w:tabs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EE7C18"/>
    <w:pPr>
      <w:keepNext/>
      <w:tabs>
        <w:tab w:val="num" w:pos="0"/>
      </w:tabs>
      <w:outlineLvl w:val="6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18"/>
  </w:style>
  <w:style w:type="character" w:customStyle="1" w:styleId="WW8Num2z0">
    <w:name w:val="WW8Num2z0"/>
    <w:rsid w:val="00EE7C18"/>
    <w:rPr>
      <w:rFonts w:ascii="Symbol" w:hAnsi="Symbol"/>
    </w:rPr>
  </w:style>
  <w:style w:type="character" w:customStyle="1" w:styleId="WW8Num3z0">
    <w:name w:val="WW8Num3z0"/>
    <w:rsid w:val="00EE7C18"/>
    <w:rPr>
      <w:rFonts w:ascii="Wingdings" w:hAnsi="Wingdings"/>
    </w:rPr>
  </w:style>
  <w:style w:type="character" w:styleId="Hyperlink">
    <w:name w:val="Hyperlink"/>
    <w:basedOn w:val="DefaultParagraphFont"/>
    <w:semiHidden/>
    <w:rsid w:val="00EE7C18"/>
    <w:rPr>
      <w:color w:val="0000FF"/>
      <w:u w:val="single"/>
    </w:rPr>
  </w:style>
  <w:style w:type="character" w:styleId="Emphasis">
    <w:name w:val="Emphasis"/>
    <w:qFormat/>
    <w:rsid w:val="00EE7C18"/>
    <w:rPr>
      <w:rFonts w:ascii="Arial Black" w:hAnsi="Arial Black"/>
      <w:sz w:val="18"/>
    </w:rPr>
  </w:style>
  <w:style w:type="character" w:customStyle="1" w:styleId="Slogan">
    <w:name w:val="Slogan"/>
    <w:basedOn w:val="DefaultParagraphFont"/>
    <w:rsid w:val="00EE7C18"/>
    <w:rPr>
      <w:rFonts w:ascii="Arial Black" w:hAnsi="Arial Black"/>
      <w:sz w:val="18"/>
    </w:rPr>
  </w:style>
  <w:style w:type="paragraph" w:customStyle="1" w:styleId="Heading">
    <w:name w:val="Heading"/>
    <w:basedOn w:val="Normal"/>
    <w:next w:val="BodyText"/>
    <w:rsid w:val="00EE7C1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EE7C18"/>
    <w:pPr>
      <w:spacing w:after="220" w:line="220" w:lineRule="atLeast"/>
    </w:pPr>
  </w:style>
  <w:style w:type="paragraph" w:styleId="List">
    <w:name w:val="List"/>
    <w:basedOn w:val="BodyText"/>
    <w:semiHidden/>
    <w:rsid w:val="00EE7C18"/>
    <w:pPr>
      <w:ind w:left="360" w:hanging="360"/>
    </w:pPr>
  </w:style>
  <w:style w:type="paragraph" w:styleId="Caption">
    <w:name w:val="caption"/>
    <w:basedOn w:val="Normal"/>
    <w:qFormat/>
    <w:rsid w:val="00EE7C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E7C18"/>
    <w:pPr>
      <w:suppressLineNumbers/>
    </w:pPr>
    <w:rPr>
      <w:rFonts w:cs="Tahoma"/>
    </w:rPr>
  </w:style>
  <w:style w:type="paragraph" w:customStyle="1" w:styleId="HeadingBase">
    <w:name w:val="Heading Base"/>
    <w:basedOn w:val="Normal"/>
    <w:next w:val="BodyText"/>
    <w:rsid w:val="00EE7C18"/>
    <w:pPr>
      <w:keepNext/>
      <w:keepLines/>
      <w:spacing w:line="220" w:lineRule="atLeast"/>
    </w:pPr>
    <w:rPr>
      <w:rFonts w:ascii="Arial Black" w:hAnsi="Arial Black"/>
      <w:spacing w:val="-10"/>
      <w:kern w:val="1"/>
    </w:rPr>
  </w:style>
  <w:style w:type="paragraph" w:styleId="Date">
    <w:name w:val="Date"/>
    <w:basedOn w:val="Normal"/>
    <w:next w:val="InsideAddressName"/>
    <w:rsid w:val="00EE7C18"/>
    <w:pPr>
      <w:spacing w:after="220" w:line="220" w:lineRule="atLeast"/>
    </w:pPr>
  </w:style>
  <w:style w:type="paragraph" w:customStyle="1" w:styleId="InsideAddress">
    <w:name w:val="Inside Address"/>
    <w:basedOn w:val="Normal"/>
    <w:rsid w:val="00EE7C18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EE7C18"/>
    <w:pPr>
      <w:spacing w:before="220"/>
    </w:pPr>
  </w:style>
  <w:style w:type="paragraph" w:styleId="Salutation">
    <w:name w:val="Salutation"/>
    <w:basedOn w:val="Normal"/>
    <w:next w:val="SubjectLine"/>
    <w:rsid w:val="00EE7C18"/>
    <w:pPr>
      <w:spacing w:before="220" w:after="220" w:line="220" w:lineRule="atLeast"/>
      <w:jc w:val="left"/>
    </w:pPr>
  </w:style>
  <w:style w:type="paragraph" w:styleId="Closing">
    <w:name w:val="Closing"/>
    <w:basedOn w:val="Normal"/>
    <w:next w:val="Signature"/>
    <w:rsid w:val="00EE7C18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EE7C18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EE7C18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EE7C18"/>
    <w:pPr>
      <w:spacing w:before="0"/>
    </w:pPr>
  </w:style>
  <w:style w:type="paragraph" w:customStyle="1" w:styleId="ReferenceInitials">
    <w:name w:val="Reference Initials"/>
    <w:basedOn w:val="Normal"/>
    <w:next w:val="Enclosure"/>
    <w:rsid w:val="00EE7C18"/>
    <w:pPr>
      <w:keepNext/>
      <w:keepLines/>
      <w:spacing w:before="220" w:line="220" w:lineRule="atLeast"/>
    </w:pPr>
  </w:style>
  <w:style w:type="paragraph" w:customStyle="1" w:styleId="AttentionLine">
    <w:name w:val="Attention Line"/>
    <w:basedOn w:val="Normal"/>
    <w:next w:val="Salutation"/>
    <w:rsid w:val="00EE7C18"/>
    <w:pPr>
      <w:spacing w:before="220" w:after="220" w:line="220" w:lineRule="atLeast"/>
    </w:pPr>
  </w:style>
  <w:style w:type="paragraph" w:customStyle="1" w:styleId="CcList">
    <w:name w:val="Cc List"/>
    <w:basedOn w:val="Normal"/>
    <w:rsid w:val="00EE7C18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rsid w:val="00EE7C18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Enclosure">
    <w:name w:val="Enclosure"/>
    <w:basedOn w:val="Normal"/>
    <w:next w:val="CcList"/>
    <w:rsid w:val="00EE7C18"/>
    <w:pPr>
      <w:keepNext/>
      <w:keepLines/>
      <w:spacing w:after="220" w:line="220" w:lineRule="atLeast"/>
    </w:pPr>
  </w:style>
  <w:style w:type="paragraph" w:customStyle="1" w:styleId="MailingInstructions">
    <w:name w:val="Mailing Instructions"/>
    <w:basedOn w:val="Normal"/>
    <w:next w:val="InsideAddressName"/>
    <w:rsid w:val="00EE7C18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EE7C18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EE7C18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ubjectLine">
    <w:name w:val="Subject Line"/>
    <w:basedOn w:val="Normal"/>
    <w:next w:val="BodyText"/>
    <w:rsid w:val="00EE7C1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EE7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C18"/>
    <w:pPr>
      <w:tabs>
        <w:tab w:val="center" w:pos="4320"/>
        <w:tab w:val="right" w:pos="8640"/>
      </w:tabs>
    </w:pPr>
  </w:style>
  <w:style w:type="paragraph" w:styleId="ListBullet">
    <w:name w:val="List Bullet"/>
    <w:basedOn w:val="List"/>
    <w:rsid w:val="00EE7C18"/>
    <w:pPr>
      <w:ind w:left="0" w:firstLine="0"/>
    </w:pPr>
  </w:style>
  <w:style w:type="paragraph" w:styleId="ListNumber">
    <w:name w:val="List Number"/>
    <w:basedOn w:val="BodyText"/>
    <w:rsid w:val="00EE7C18"/>
  </w:style>
  <w:style w:type="paragraph" w:styleId="BalloonText">
    <w:name w:val="Balloon Text"/>
    <w:basedOn w:val="Normal"/>
    <w:rsid w:val="00EE7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sumvalley@embar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8DDC-8A27-4A51-A290-FF904C2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10814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mailto:pvma@cvn.net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5</cp:revision>
  <cp:lastPrinted>2015-05-20T19:49:00Z</cp:lastPrinted>
  <dcterms:created xsi:type="dcterms:W3CDTF">2015-04-16T14:52:00Z</dcterms:created>
  <dcterms:modified xsi:type="dcterms:W3CDTF">2015-05-20T19:50:00Z</dcterms:modified>
</cp:coreProperties>
</file>